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附：</w:t>
      </w:r>
      <w:bookmarkStart w:id="0" w:name="_GoBack"/>
      <w:r>
        <w:rPr>
          <w:rFonts w:hint="eastAsia" w:ascii="宋体" w:hAnsi="宋体"/>
          <w:b/>
          <w:bCs/>
          <w:sz w:val="24"/>
        </w:rPr>
        <w:t>多媒体教学课件评选标准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bCs/>
          <w:sz w:val="24"/>
        </w:rPr>
      </w:pPr>
    </w:p>
    <w:tbl>
      <w:tblPr>
        <w:tblStyle w:val="2"/>
        <w:tblW w:w="9865" w:type="dxa"/>
        <w:jc w:val="center"/>
        <w:tblCellSpacing w:w="0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6890"/>
        <w:gridCol w:w="840"/>
        <w:gridCol w:w="12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评比标准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分)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课件的制作直观、形象，利于学生理解知识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有利于调动学生学习的积极性和主动性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具有较大的启发性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课件的针对性强，内容完整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能否支持合作学习、自主学习或探究式学习模式</w:t>
            </w:r>
            <w:r>
              <w:rPr>
                <w:rFonts w:hint="eastAsia" w:ascii="宋体" w:hAnsi="宋体"/>
                <w:szCs w:val="21"/>
              </w:rPr>
              <w:t>，体现新课程的理念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0分)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内容正确，符合逻辑，层次清晰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模拟仿真，合情合理，准确真实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场景设置、素材选取、操作示范等符合规范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(20分)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软件运行稳定；操作方式简便、快捷，易于掌握、交互性好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图、文、音、视、动画等形式运用合理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导航方便合理，路径可选；新技术运用有效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艺术性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分)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创意新颖独特，构思巧妙，节奏合理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色彩搭配合理，风格统一，视觉效果好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表达能力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分)</w:t>
            </w: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姿态、体态语言和面部表情运用恰当自如，感情充沛，精神饱满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语速恰当、发音清晰、音量适当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0" w:type="dxa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演讲精彩，富有感染力、吸引力和说服力，使听众产生共鸣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CellSpacing w:w="0" w:type="dxa"/>
          <w:jc w:val="center"/>
        </w:trPr>
        <w:tc>
          <w:tcPr>
            <w:tcW w:w="86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43848"/>
    <w:rsid w:val="7DF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2019-08-03T07:15:00Z</dcterms:created>
  <dc:creator>hf</dc:creator>
  <cp:lastModifiedBy>hf</cp:lastModifiedBy>
  <dcterms:modified xsi:type="dcterms:W3CDTF">2019-08-03T07:15:29Z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